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nodejs-sntp 4.0.0</w:t>
      </w:r>
    </w:p>
    <w:p>
      <w:pPr/>
      <w:r>
        <w:rPr>
          <w:rStyle w:val="13"/>
          <w:rFonts w:ascii="Arial" w:hAnsi="Arial"/>
          <w:b/>
        </w:rPr>
        <w:t xml:space="preserve">Copyright notice: </w:t>
      </w:r>
    </w:p>
    <w:p>
      <w:pPr/>
      <w:r>
        <w:rPr>
          <w:rStyle w:val="13"/>
          <w:rFonts w:ascii="宋体" w:hAnsi="宋体"/>
          <w:sz w:val="22"/>
        </w:rPr>
        <w:t>Copyright (c) 2012-2020, Sideway Inc, and project contributors All rights reserved.</w:t>
        <w:br/>
      </w:r>
    </w:p>
    <w:p>
      <w:pPr/>
      <w:r>
        <w:rPr>
          <w:rStyle w:val="13"/>
          <w:rFonts w:ascii="Arial" w:hAnsi="Arial"/>
          <w:b/>
          <w:sz w:val="24"/>
        </w:rPr>
        <w:t xml:space="preserve">License: </w:t>
      </w:r>
      <w:r>
        <w:rPr>
          <w:rStyle w:val="13"/>
          <w:rFonts w:ascii="Arial" w:hAnsi="Arial"/>
          <w:sz w:val="21"/>
        </w:rPr>
        <w:t>BSD-3-Clause</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